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A" w:rsidRDefault="0068129A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B81DEC" w:rsidRDefault="00FE363B" w:rsidP="003D3243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B81DEC">
        <w:rPr>
          <w:rFonts w:ascii="SofiaSans" w:hAnsi="SofiaSans" w:cs="Arial"/>
          <w:b/>
          <w:lang w:val="bg-BG"/>
        </w:rPr>
        <w:t xml:space="preserve">ФОРМУЛЯР ЗА ПРОЕКТ </w:t>
      </w:r>
    </w:p>
    <w:p w:rsidR="00FE363B" w:rsidRPr="00B81DEC" w:rsidRDefault="00FE363B" w:rsidP="0076494C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B81DEC">
        <w:rPr>
          <w:rFonts w:ascii="SofiaSans" w:hAnsi="SofiaSans" w:cs="Arial"/>
          <w:b/>
          <w:lang w:val="bg-BG"/>
        </w:rPr>
        <w:t>Направление „</w:t>
      </w:r>
      <w:r w:rsidR="00CD6714" w:rsidRPr="00B81DEC">
        <w:rPr>
          <w:rFonts w:ascii="SofiaSans" w:hAnsi="SofiaSans" w:cs="Arial"/>
          <w:b/>
          <w:lang w:val="bg-BG"/>
        </w:rPr>
        <w:t xml:space="preserve">Културно наследство и социализация </w:t>
      </w:r>
      <w:r w:rsidR="00B05B7B" w:rsidRPr="00B81DEC">
        <w:rPr>
          <w:rFonts w:ascii="SofiaSans" w:hAnsi="SofiaSans" w:cs="Arial"/>
          <w:b/>
          <w:lang w:val="bg-BG"/>
        </w:rPr>
        <w:t>”</w:t>
      </w:r>
    </w:p>
    <w:p w:rsidR="00FE363B" w:rsidRPr="00B81DEC" w:rsidRDefault="00FE363B" w:rsidP="0076494C">
      <w:pPr>
        <w:pStyle w:val="MediumShading1-Accent11"/>
        <w:jc w:val="center"/>
        <w:rPr>
          <w:rFonts w:ascii="SofiaSans" w:hAnsi="SofiaSans" w:cs="Arial"/>
          <w:b/>
          <w:lang w:val="bg-BG"/>
        </w:rPr>
      </w:pPr>
    </w:p>
    <w:p w:rsidR="00FE363B" w:rsidRPr="00B81DEC" w:rsidRDefault="00FE363B" w:rsidP="0076494C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</w:p>
    <w:p w:rsidR="00FE363B" w:rsidRPr="00B81DEC" w:rsidRDefault="00FE363B" w:rsidP="00D90DAB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B81DEC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B81DEC" w:rsidRDefault="00FE363B" w:rsidP="00D90DAB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  <w:r w:rsidRPr="00B81DEC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B81DEC" w:rsidRDefault="00FE363B" w:rsidP="0090243E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B81DEC" w:rsidRDefault="00FE363B" w:rsidP="009D1B33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B81DEC" w:rsidRDefault="005E3CD0" w:rsidP="00A4245F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</w:t>
            </w:r>
            <w:r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2024 г</w:t>
            </w:r>
          </w:p>
        </w:tc>
        <w:tc>
          <w:tcPr>
            <w:tcW w:w="6379" w:type="dxa"/>
          </w:tcPr>
          <w:p w:rsidR="00FE363B" w:rsidRPr="00B81DEC" w:rsidRDefault="00FE363B" w:rsidP="00205ED4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B81DEC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22283A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FE363B" w:rsidRPr="00B81DEC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B81DEC" w:rsidTr="005B0F4B">
        <w:tc>
          <w:tcPr>
            <w:tcW w:w="5104" w:type="dxa"/>
            <w:shd w:val="clear" w:color="auto" w:fill="F2F2F2"/>
          </w:tcPr>
          <w:p w:rsidR="00FE363B" w:rsidRPr="00B81DEC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B81DEC" w:rsidRDefault="00FE363B" w:rsidP="00251AE9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B81DEC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81DEC" w:rsidTr="005B0F4B">
        <w:tc>
          <w:tcPr>
            <w:tcW w:w="5104" w:type="dxa"/>
            <w:shd w:val="clear" w:color="auto" w:fill="D9D9D9"/>
          </w:tcPr>
          <w:p w:rsidR="00FE363B" w:rsidRPr="00B81DEC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B81DEC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10"/>
                <w:szCs w:val="10"/>
                <w:lang w:val="bg-BG"/>
              </w:rPr>
            </w:pPr>
          </w:p>
        </w:tc>
      </w:tr>
      <w:tr w:rsidR="00FE363B" w:rsidRPr="00B81DEC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Pr="00B81DEC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FE363B" w:rsidRPr="00B81DEC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</w:tcPr>
          <w:p w:rsidR="00FE363B" w:rsidRPr="00B81DEC" w:rsidRDefault="00FE363B" w:rsidP="00580FE2">
            <w:pPr>
              <w:pStyle w:val="MediumShading1-Accent11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Pr="00B81DEC" w:rsidRDefault="00FE363B">
      <w:pPr>
        <w:rPr>
          <w:rFonts w:ascii="SofiaSans" w:hAnsi="SofiaSans"/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B81DEC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B81DEC" w:rsidRDefault="00FE363B" w:rsidP="00D90DAB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B81DEC" w:rsidTr="00372779">
        <w:trPr>
          <w:cantSplit/>
        </w:trPr>
        <w:tc>
          <w:tcPr>
            <w:tcW w:w="11483" w:type="dxa"/>
          </w:tcPr>
          <w:p w:rsidR="00FE363B" w:rsidRPr="00B81DEC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FE363B" w:rsidRPr="00B81DEC" w:rsidRDefault="00FE363B" w:rsidP="0022283A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B81DEC">
              <w:rPr>
                <w:rFonts w:ascii="SofiaSans" w:hAnsi="SofiaSans" w:cs="Arial"/>
                <w:i/>
                <w:sz w:val="20"/>
                <w:szCs w:val="20"/>
              </w:rPr>
              <w:t xml:space="preserve"> </w:t>
            </w: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Кои са важните според вас тенденции в областта, в която работите? 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B81DEC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408FB" w:rsidRPr="00B81DEC" w:rsidTr="00372779">
        <w:trPr>
          <w:cantSplit/>
        </w:trPr>
        <w:tc>
          <w:tcPr>
            <w:tcW w:w="11483" w:type="dxa"/>
          </w:tcPr>
          <w:p w:rsidR="00F408FB" w:rsidRPr="00B81DEC" w:rsidRDefault="00F408FB" w:rsidP="00F408FB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color w:val="auto"/>
                <w:sz w:val="20"/>
                <w:szCs w:val="20"/>
              </w:rPr>
            </w:pPr>
            <w:r w:rsidRPr="00B81DEC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 xml:space="preserve">Идейна концепция и описание на проектния замисъл и връзка с направлението (до </w:t>
            </w:r>
            <w:r w:rsidR="00A4245F" w:rsidRPr="00B81DEC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5</w:t>
            </w:r>
            <w:r w:rsidRPr="00B81DEC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00 думи)</w:t>
            </w:r>
          </w:p>
          <w:p w:rsidR="00F408FB" w:rsidRPr="00B81DEC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B81DEC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 xml:space="preserve">идеята и опишете в какво се състои проектът, каква е връзка му с изискванията на направлението </w:t>
            </w:r>
            <w:r w:rsidR="00B05B7B" w:rsidRPr="00B81DEC">
              <w:rPr>
                <w:rFonts w:ascii="SofiaSans" w:hAnsi="SofiaSans" w:cs="Arial"/>
                <w:i/>
                <w:color w:val="auto"/>
                <w:sz w:val="20"/>
                <w:szCs w:val="20"/>
                <w:lang w:val="en-US"/>
              </w:rPr>
              <w:t>„</w:t>
            </w:r>
            <w:r w:rsidR="00CD6714" w:rsidRPr="00B81DEC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К</w:t>
            </w:r>
            <w:proofErr w:type="spellStart"/>
            <w:r w:rsidR="00CD6714" w:rsidRPr="00B81DEC">
              <w:rPr>
                <w:rFonts w:ascii="SofiaSans" w:hAnsi="SofiaSans" w:cs="Arial"/>
                <w:i/>
                <w:color w:val="auto"/>
                <w:sz w:val="20"/>
                <w:szCs w:val="20"/>
                <w:lang w:val="en-US"/>
              </w:rPr>
              <w:t>ултурно</w:t>
            </w:r>
            <w:proofErr w:type="spellEnd"/>
            <w:r w:rsidR="00CD6714" w:rsidRPr="00B81DEC">
              <w:rPr>
                <w:rFonts w:ascii="SofiaSans" w:hAnsi="SofiaSans" w:cs="Arial"/>
                <w:i/>
                <w:color w:val="auto"/>
                <w:sz w:val="20"/>
                <w:szCs w:val="20"/>
                <w:lang w:val="en-US"/>
              </w:rPr>
              <w:t xml:space="preserve"> наследство и социализация</w:t>
            </w:r>
            <w:r w:rsidR="00B05B7B" w:rsidRPr="00B81DEC">
              <w:rPr>
                <w:rFonts w:ascii="SofiaSans" w:hAnsi="SofiaSans" w:cs="Arial"/>
                <w:i/>
                <w:color w:val="auto"/>
                <w:sz w:val="20"/>
                <w:szCs w:val="20"/>
                <w:lang w:val="en-US"/>
              </w:rPr>
              <w:t>”</w:t>
            </w:r>
            <w:r w:rsidR="0082540E" w:rsidRPr="00B81DEC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.</w:t>
            </w:r>
          </w:p>
          <w:p w:rsidR="00F408FB" w:rsidRPr="00B81DEC" w:rsidRDefault="00F408FB" w:rsidP="00F408FB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  <w:tr w:rsidR="00F408FB" w:rsidRPr="00B81DEC" w:rsidTr="00372779">
        <w:trPr>
          <w:cantSplit/>
        </w:trPr>
        <w:tc>
          <w:tcPr>
            <w:tcW w:w="11483" w:type="dxa"/>
          </w:tcPr>
          <w:p w:rsidR="00F408FB" w:rsidRPr="00B81DEC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F408FB" w:rsidRPr="00B81DEC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те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B81DEC">
              <w:rPr>
                <w:rFonts w:ascii="SofiaSans" w:hAnsi="SofiaSans" w:cs="Arial"/>
                <w:bCs/>
                <w:sz w:val="20"/>
                <w:szCs w:val="20"/>
                <w:lang w:val="ru-RU"/>
              </w:rPr>
              <w:t>.</w:t>
            </w:r>
          </w:p>
          <w:p w:rsidR="00F408FB" w:rsidRPr="00B81DEC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F408FB" w:rsidRPr="00B81DEC" w:rsidTr="00372779">
        <w:trPr>
          <w:cantSplit/>
        </w:trPr>
        <w:tc>
          <w:tcPr>
            <w:tcW w:w="11483" w:type="dxa"/>
          </w:tcPr>
          <w:p w:rsidR="00F408FB" w:rsidRPr="00B81DEC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F408FB" w:rsidRPr="00B81DEC" w:rsidRDefault="00F408FB" w:rsidP="00F408FB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към кои групи и публики е насочен проектът и подходът за тяхното ангажиране в проекта. </w:t>
            </w:r>
            <w:r w:rsidRPr="00B81DEC">
              <w:rPr>
                <w:rFonts w:ascii="SofiaSans" w:eastAsia="Times New Roman" w:hAnsi="SofiaSans" w:cs="Arial"/>
                <w:bCs/>
                <w:i/>
                <w:sz w:val="20"/>
                <w:szCs w:val="20"/>
                <w:lang w:val="bg-BG" w:eastAsia="bg-BG"/>
              </w:rPr>
              <w:t>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F408FB" w:rsidRPr="00B81DEC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B81DEC" w:rsidTr="00A4245F">
        <w:trPr>
          <w:cantSplit/>
          <w:trHeight w:val="1209"/>
        </w:trPr>
        <w:tc>
          <w:tcPr>
            <w:tcW w:w="11483" w:type="dxa"/>
          </w:tcPr>
          <w:p w:rsidR="00A4245F" w:rsidRPr="00B81DEC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lastRenderedPageBreak/>
              <w:t xml:space="preserve">Подход за реализация на дейностите в изпълнение на </w:t>
            </w:r>
            <w:r w:rsid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Специалните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приоритет</w:t>
            </w:r>
            <w:r w:rsid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и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 w:rsidR="002A67AA"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4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</w:rPr>
              <w:t xml:space="preserve"> 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(до 200 думи)</w:t>
            </w:r>
          </w:p>
          <w:p w:rsidR="005134AC" w:rsidRPr="005134AC" w:rsidRDefault="00B81DEC" w:rsidP="005134AC">
            <w:pPr>
              <w:pStyle w:val="MediumShading1-Accent11"/>
              <w:numPr>
                <w:ilvl w:val="0"/>
                <w:numId w:val="41"/>
              </w:numPr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</w:rPr>
              <w:t> 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Специален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фокусът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върху </w:t>
            </w:r>
            <w:r w:rsidR="005134AC" w:rsidRPr="005134AC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образованието</w:t>
            </w:r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като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инструмент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развиване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интерес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обучителни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менторства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както и развитие на нови публики. Столична община ще подкрепя инициативи за популяризиране и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изкуствата, така че </w:t>
            </w:r>
            <w:proofErr w:type="spellStart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те</w:t>
            </w:r>
            <w:proofErr w:type="spellEnd"/>
            <w:r w:rsidR="005134AC"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5134AC" w:rsidRPr="005134AC" w:rsidRDefault="005134AC" w:rsidP="005134AC">
            <w:pPr>
              <w:pStyle w:val="MediumShading1-Accent11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</w:p>
          <w:p w:rsidR="005134AC" w:rsidRPr="005134AC" w:rsidRDefault="005134AC" w:rsidP="005134AC">
            <w:pPr>
              <w:pStyle w:val="MediumShading1-Accent11"/>
              <w:numPr>
                <w:ilvl w:val="0"/>
                <w:numId w:val="41"/>
              </w:numPr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Вторият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изявата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</w:t>
            </w:r>
            <w:r w:rsidRPr="005134AC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младите хора</w:t>
            </w:r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- творци и културни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. Подкрепа за организации, </w:t>
            </w:r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ru-RU"/>
              </w:rPr>
              <w:t>сцени и пространства</w:t>
            </w:r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които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все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още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дават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дебюти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изяви</w:t>
            </w:r>
            <w:proofErr w:type="spellEnd"/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.  </w:t>
            </w:r>
          </w:p>
          <w:p w:rsidR="005134AC" w:rsidRPr="005134AC" w:rsidRDefault="005134AC" w:rsidP="005134AC">
            <w:pPr>
              <w:pStyle w:val="MediumShading1-Accent11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</w:p>
          <w:p w:rsidR="005134AC" w:rsidRPr="005134AC" w:rsidRDefault="005134AC" w:rsidP="005134AC">
            <w:pPr>
              <w:pStyle w:val="MediumShading1-Accent11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5134AC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поне</w:t>
            </w:r>
            <w:proofErr w:type="spellEnd"/>
            <w:r w:rsidRPr="005134AC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 xml:space="preserve"> един</w:t>
            </w:r>
            <w:r w:rsidRPr="005134AC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от тези приоритети. </w:t>
            </w:r>
          </w:p>
          <w:p w:rsidR="00A4245F" w:rsidRPr="00B81DEC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F408FB" w:rsidRPr="00B81DEC" w:rsidTr="00A4245F">
        <w:trPr>
          <w:cantSplit/>
          <w:trHeight w:val="4527"/>
        </w:trPr>
        <w:tc>
          <w:tcPr>
            <w:tcW w:w="11483" w:type="dxa"/>
          </w:tcPr>
          <w:p w:rsidR="00F408FB" w:rsidRPr="00B81DEC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</w:t>
            </w:r>
            <w:r w:rsidR="002A67AA"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целите на Програмата през 2024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г.  (до 200 думи)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подпомогне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създаването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устойчиви културни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практики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;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утвърди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София като град с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устойчив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разнообразен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космополитен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културен живот;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покаже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потенциала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културното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наследство на София чрез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неговото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осмисляне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връзката му със съвременното изкуство 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неговото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утвърждаване като ресурс за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икономически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растеж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;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насърчи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сътрудничеството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между културните институции и организации;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подкрепи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утвърждаването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нови сцени и пространства, нови или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все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още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непознати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творци, </w:t>
            </w: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дебюти</w:t>
            </w: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, нови творчески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изяви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ангажирането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младежки публики;</w:t>
            </w:r>
          </w:p>
          <w:p w:rsidR="00D23EAD" w:rsidRPr="00D23EAD" w:rsidRDefault="00D23EAD" w:rsidP="00D23EAD">
            <w:pPr>
              <w:pStyle w:val="Default"/>
              <w:numPr>
                <w:ilvl w:val="0"/>
                <w:numId w:val="39"/>
              </w:numPr>
              <w:tabs>
                <w:tab w:val="clear" w:pos="469"/>
                <w:tab w:val="left" w:pos="481"/>
              </w:tabs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гарантира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повишаване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участието на гражданите в културните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дейности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на</w:t>
            </w:r>
          </w:p>
          <w:p w:rsidR="00D23EAD" w:rsidRPr="00D23EAD" w:rsidRDefault="00D23EAD" w:rsidP="00D23EAD">
            <w:pPr>
              <w:pStyle w:val="Default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потреблението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културни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продукти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услуги;</w:t>
            </w:r>
          </w:p>
          <w:p w:rsidR="00D23EAD" w:rsidRPr="00D23EAD" w:rsidRDefault="00D23EAD" w:rsidP="00D23EAD">
            <w:pPr>
              <w:pStyle w:val="Default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•да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позиционира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София в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европейския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световен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културен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календар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като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привлекателна</w:t>
            </w:r>
            <w:proofErr w:type="spellEnd"/>
          </w:p>
          <w:p w:rsidR="00D23EAD" w:rsidRPr="00D23EAD" w:rsidRDefault="00D23EAD" w:rsidP="00D23EAD">
            <w:pPr>
              <w:pStyle w:val="Default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културна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дестинация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;</w:t>
            </w:r>
          </w:p>
          <w:p w:rsidR="00D23EAD" w:rsidRPr="00D23EAD" w:rsidRDefault="00D23EAD" w:rsidP="00D23EAD">
            <w:pPr>
              <w:pStyle w:val="Default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</w:pPr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• да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съдейства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за подобряване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качеството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живот на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жителите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>гостите</w:t>
            </w:r>
            <w:proofErr w:type="spellEnd"/>
            <w:r w:rsidRPr="00D23EAD">
              <w:rPr>
                <w:rFonts w:ascii="SofiaSans" w:hAnsi="SofiaSans" w:cs="Arial"/>
                <w:bCs/>
                <w:i/>
                <w:sz w:val="20"/>
                <w:szCs w:val="20"/>
                <w:lang w:val="en-US"/>
              </w:rPr>
              <w:t xml:space="preserve"> на София.</w:t>
            </w:r>
          </w:p>
          <w:p w:rsidR="00A4245F" w:rsidRPr="00B81DEC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</w:rPr>
            </w:pPr>
          </w:p>
          <w:p w:rsidR="00A4245F" w:rsidRPr="00B81DEC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B81DEC" w:rsidTr="00372779">
        <w:trPr>
          <w:cantSplit/>
        </w:trPr>
        <w:tc>
          <w:tcPr>
            <w:tcW w:w="11483" w:type="dxa"/>
          </w:tcPr>
          <w:p w:rsidR="00A4245F" w:rsidRPr="00B81DEC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приоритетите, свързани </w:t>
            </w:r>
            <w:hyperlink r:id="rId7" w:tgtFrame="_blank" w:history="1">
              <w:r w:rsidR="002A67AA" w:rsidRPr="00B81DEC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2A67AA" w:rsidRPr="00B81DEC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новата</w:t>
              </w:r>
              <w:proofErr w:type="spellEnd"/>
              <w:r w:rsidR="002A67AA" w:rsidRPr="00B81DEC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2A67AA" w:rsidRPr="00B81DEC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енергия</w:t>
              </w:r>
              <w:proofErr w:type="spellEnd"/>
              <w:r w:rsidR="002A67AA" w:rsidRPr="00B81DEC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 (до 200 думи)</w:t>
            </w:r>
          </w:p>
          <w:p w:rsidR="00A4245F" w:rsidRPr="00B81DEC" w:rsidRDefault="00A4245F" w:rsidP="00A4245F">
            <w:pPr>
              <w:pStyle w:val="MediumShading1-Accent11"/>
              <w:tabs>
                <w:tab w:val="left" w:pos="481"/>
              </w:tabs>
              <w:ind w:left="720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  <w:p w:rsidR="00A4245F" w:rsidRPr="00B81DEC" w:rsidRDefault="00A4245F" w:rsidP="00A4245F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A105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Дейности и очаквани резултати (до 400 думи)</w:t>
            </w:r>
          </w:p>
          <w:p w:rsidR="00FA105B" w:rsidRPr="00B81DEC" w:rsidRDefault="00FA105B" w:rsidP="00FA105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Опишете всички предвидени дейности по проекта и очакваните резултати</w:t>
            </w:r>
            <w:r w:rsidRPr="00B81DEC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.</w:t>
            </w:r>
            <w:r w:rsidRPr="00B81DEC">
              <w:rPr>
                <w:rFonts w:ascii="SofiaSans" w:hAnsi="SofiaSans" w:cs="Arial"/>
                <w:bCs/>
                <w:sz w:val="20"/>
                <w:szCs w:val="20"/>
              </w:rPr>
              <w:t xml:space="preserve"> 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При описването на дейностите включете и тези в изпълнение на </w:t>
            </w:r>
            <w:r w:rsidR="002A67AA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специалните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приоритети</w:t>
            </w:r>
            <w:r w:rsidR="00A4245F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и/или </w:t>
            </w:r>
            <w:r w:rsidR="002A67AA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целите на Програмата за 2024</w:t>
            </w:r>
            <w:r w:rsidR="00A4245F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г.  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:</w:t>
            </w:r>
            <w:r w:rsidRPr="00B81DEC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</w:t>
            </w:r>
          </w:p>
          <w:p w:rsidR="00FA105B" w:rsidRPr="00B81DEC" w:rsidRDefault="00FA105B" w:rsidP="00FA105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372779" w:rsidRPr="00B81DEC" w:rsidTr="00372779">
        <w:trPr>
          <w:cantSplit/>
        </w:trPr>
        <w:tc>
          <w:tcPr>
            <w:tcW w:w="11483" w:type="dxa"/>
          </w:tcPr>
          <w:p w:rsidR="00FF46BE" w:rsidRPr="00B81DEC" w:rsidRDefault="00FF46BE" w:rsidP="00FF46BE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lastRenderedPageBreak/>
              <w:t>График на дейностите по проекта</w:t>
            </w:r>
          </w:p>
          <w:p w:rsidR="00FF46BE" w:rsidRPr="00B81DEC" w:rsidRDefault="00FF46BE" w:rsidP="00FF46BE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</w:t>
            </w:r>
            <w:r w:rsidR="00552A45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редставете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дейностите по месеци, в които планирате изпълнението им. Общата рамка на проекти по Програмата е между 15 февруари – 15 декември 202</w:t>
            </w:r>
            <w:r w:rsidR="002A67AA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4</w:t>
            </w:r>
            <w:r w:rsidR="00A4245F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г.</w:t>
            </w:r>
            <w:r w:rsidR="00F12ED7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Проектът трябва да е </w:t>
            </w:r>
            <w:r w:rsidR="002A67AA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отчетен до 15.12.2024</w:t>
            </w:r>
            <w:r w:rsidR="00F12ED7"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г</w:t>
            </w:r>
          </w:p>
          <w:p w:rsidR="00372779" w:rsidRPr="00B81DEC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552A45" w:rsidRPr="00B81DEC" w:rsidTr="00552A45">
              <w:trPr>
                <w:trHeight w:val="589"/>
              </w:trPr>
              <w:tc>
                <w:tcPr>
                  <w:tcW w:w="4424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552A45" w:rsidRPr="00B81DEC" w:rsidRDefault="00552A45" w:rsidP="00FF46B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Календарен месец</w:t>
                  </w:r>
                </w:p>
                <w:p w:rsidR="00552A45" w:rsidRPr="00B81DEC" w:rsidRDefault="00552A45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B81DEC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81DEC">
                    <w:rPr>
                      <w:rFonts w:ascii="SofiaSans" w:hAnsi="SofiaSans"/>
                      <w:b/>
                    </w:rPr>
                    <w:t>XII.</w:t>
                  </w:r>
                </w:p>
              </w:tc>
            </w:tr>
            <w:tr w:rsidR="00552A45" w:rsidRPr="00B81DEC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B81DEC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81DEC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81DEC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81DEC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81DEC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81DEC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81DEC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81DEC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81DEC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</w:tbl>
          <w:p w:rsidR="00372779" w:rsidRPr="00B81DEC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B81DEC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B81DEC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E363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FA105B" w:rsidRPr="00B81DEC" w:rsidRDefault="00FA105B" w:rsidP="00FA105B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FE363B" w:rsidRPr="00B81DEC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FA105B" w:rsidRPr="00B81DEC" w:rsidRDefault="00FA105B" w:rsidP="00FA105B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FE363B" w:rsidRPr="00B81DEC" w:rsidRDefault="00FE363B" w:rsidP="0022283A">
            <w:pPr>
              <w:pStyle w:val="MediumShading1-Accent11"/>
              <w:ind w:left="339"/>
              <w:rPr>
                <w:rFonts w:ascii="SofiaSans" w:hAnsi="SofiaSans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FE363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FA105B" w:rsidRPr="00B81DEC" w:rsidRDefault="00FA105B" w:rsidP="00FA105B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i/>
                <w:sz w:val="20"/>
                <w:szCs w:val="20"/>
                <w:lang w:val="ru-RU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FE363B" w:rsidRPr="00B81DEC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B81DEC"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FA105B" w:rsidRPr="00B81DEC" w:rsidRDefault="00FA105B" w:rsidP="00FA105B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B81DEC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B81DEC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B81DEC" w:rsidRDefault="00FE363B" w:rsidP="00E04F9E">
            <w:pPr>
              <w:pStyle w:val="MediumShading1-Accent11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A105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1.</w:t>
            </w: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B81DEC" w:rsidRDefault="00FA105B" w:rsidP="00FA105B">
            <w:pPr>
              <w:pStyle w:val="MediumShading1-Accent11"/>
              <w:ind w:left="623" w:hanging="283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Посочете екипа, който отговаря за управление</w:t>
            </w:r>
            <w:r w:rsidR="00552A45"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администриране</w:t>
            </w: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на проекта, както и техните отговорности.</w:t>
            </w:r>
          </w:p>
          <w:p w:rsidR="00FA105B" w:rsidRPr="00B81DEC" w:rsidRDefault="00FA105B" w:rsidP="00FA105B">
            <w:pPr>
              <w:pStyle w:val="MediumShading1-Accent11"/>
              <w:ind w:left="339" w:hanging="28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A105B" w:rsidRPr="00B81DEC" w:rsidTr="00372779">
        <w:trPr>
          <w:cantSplit/>
        </w:trPr>
        <w:tc>
          <w:tcPr>
            <w:tcW w:w="11483" w:type="dxa"/>
          </w:tcPr>
          <w:p w:rsidR="00FA105B" w:rsidRPr="00B81DEC" w:rsidRDefault="00FA105B" w:rsidP="00FA105B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2.</w:t>
            </w:r>
            <w:r w:rsidRPr="00B81DEC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Pr="00B81DEC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B81DEC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B81DEC" w:rsidRDefault="00FA105B" w:rsidP="00FA105B">
            <w:pPr>
              <w:pStyle w:val="MediumGrid2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проекти и инициативи. Представете поне </w:t>
            </w:r>
            <w:r w:rsidR="00552A45"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1</w:t>
            </w: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предиш</w:t>
            </w:r>
            <w:r w:rsidR="00A4245F"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ен</w:t>
            </w:r>
            <w:r w:rsidRPr="00B81DEC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проект, обръщайки специално внимание на проекти, сходни с предложения като тема, мащаб и подход на реализация.</w:t>
            </w:r>
          </w:p>
          <w:p w:rsidR="00FA105B" w:rsidRPr="00B81DEC" w:rsidRDefault="00FA105B" w:rsidP="00FA105B">
            <w:pPr>
              <w:spacing w:after="0"/>
              <w:ind w:left="339" w:hanging="283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B81DEC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FE363B" w:rsidRPr="00B81DEC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82" w:rsidRDefault="00A47782" w:rsidP="003D3243">
      <w:pPr>
        <w:spacing w:after="0" w:line="240" w:lineRule="auto"/>
      </w:pPr>
      <w:r>
        <w:separator/>
      </w:r>
    </w:p>
  </w:endnote>
  <w:endnote w:type="continuationSeparator" w:id="0">
    <w:p w:rsidR="00A47782" w:rsidRDefault="00A4778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5134AC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4AC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82" w:rsidRDefault="00A47782" w:rsidP="003D3243">
      <w:pPr>
        <w:spacing w:after="0" w:line="240" w:lineRule="auto"/>
      </w:pPr>
      <w:r>
        <w:separator/>
      </w:r>
    </w:p>
  </w:footnote>
  <w:footnote w:type="continuationSeparator" w:id="0">
    <w:p w:rsidR="00A47782" w:rsidRDefault="00A4778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5C3809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Pr="0068129A" w:rsidRDefault="00FE363B" w:rsidP="0068129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A63C5"/>
    <w:multiLevelType w:val="hybridMultilevel"/>
    <w:tmpl w:val="48F07340"/>
    <w:numStyleLink w:val="Numbered"/>
  </w:abstractNum>
  <w:abstractNum w:abstractNumId="4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7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3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5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E3E56"/>
    <w:multiLevelType w:val="hybridMultilevel"/>
    <w:tmpl w:val="48F07340"/>
    <w:styleLink w:val="Numbered"/>
    <w:lvl w:ilvl="0" w:tplc="F756564E">
      <w:start w:val="1"/>
      <w:numFmt w:val="decimal"/>
      <w:lvlText w:val="%1."/>
      <w:lvlJc w:val="left"/>
      <w:pPr>
        <w:tabs>
          <w:tab w:val="num" w:pos="533"/>
        </w:tabs>
        <w:ind w:left="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56FC">
      <w:start w:val="1"/>
      <w:numFmt w:val="decimal"/>
      <w:lvlText w:val="%2."/>
      <w:lvlJc w:val="left"/>
      <w:pPr>
        <w:tabs>
          <w:tab w:val="left" w:pos="533"/>
          <w:tab w:val="num" w:pos="1333"/>
        </w:tabs>
        <w:ind w:left="1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3936">
      <w:start w:val="1"/>
      <w:numFmt w:val="decimal"/>
      <w:lvlText w:val="%3."/>
      <w:lvlJc w:val="left"/>
      <w:pPr>
        <w:tabs>
          <w:tab w:val="left" w:pos="533"/>
          <w:tab w:val="num" w:pos="2133"/>
        </w:tabs>
        <w:ind w:left="1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62C40">
      <w:start w:val="1"/>
      <w:numFmt w:val="decimal"/>
      <w:lvlText w:val="%4."/>
      <w:lvlJc w:val="left"/>
      <w:pPr>
        <w:tabs>
          <w:tab w:val="left" w:pos="533"/>
          <w:tab w:val="num" w:pos="2933"/>
        </w:tabs>
        <w:ind w:left="2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462">
      <w:start w:val="1"/>
      <w:numFmt w:val="decimal"/>
      <w:lvlText w:val="%5."/>
      <w:lvlJc w:val="left"/>
      <w:pPr>
        <w:tabs>
          <w:tab w:val="left" w:pos="533"/>
          <w:tab w:val="num" w:pos="3733"/>
        </w:tabs>
        <w:ind w:left="34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CE84C">
      <w:start w:val="1"/>
      <w:numFmt w:val="decimal"/>
      <w:lvlText w:val="%6."/>
      <w:lvlJc w:val="left"/>
      <w:pPr>
        <w:tabs>
          <w:tab w:val="left" w:pos="533"/>
          <w:tab w:val="num" w:pos="4533"/>
        </w:tabs>
        <w:ind w:left="4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564E">
      <w:start w:val="1"/>
      <w:numFmt w:val="decimal"/>
      <w:lvlText w:val="%7."/>
      <w:lvlJc w:val="left"/>
      <w:pPr>
        <w:tabs>
          <w:tab w:val="left" w:pos="533"/>
          <w:tab w:val="num" w:pos="5333"/>
        </w:tabs>
        <w:ind w:left="5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80180">
      <w:start w:val="1"/>
      <w:numFmt w:val="decimal"/>
      <w:lvlText w:val="%8."/>
      <w:lvlJc w:val="left"/>
      <w:pPr>
        <w:tabs>
          <w:tab w:val="left" w:pos="533"/>
          <w:tab w:val="num" w:pos="6133"/>
        </w:tabs>
        <w:ind w:left="5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6176">
      <w:start w:val="1"/>
      <w:numFmt w:val="decimal"/>
      <w:lvlText w:val="%9."/>
      <w:lvlJc w:val="left"/>
      <w:pPr>
        <w:tabs>
          <w:tab w:val="left" w:pos="533"/>
          <w:tab w:val="num" w:pos="6933"/>
        </w:tabs>
        <w:ind w:left="6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6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4FE"/>
    <w:multiLevelType w:val="hybridMultilevel"/>
    <w:tmpl w:val="29645B0E"/>
    <w:numStyleLink w:val="Bullets"/>
  </w:abstractNum>
  <w:num w:numId="1">
    <w:abstractNumId w:val="9"/>
  </w:num>
  <w:num w:numId="2">
    <w:abstractNumId w:val="25"/>
  </w:num>
  <w:num w:numId="3">
    <w:abstractNumId w:val="39"/>
  </w:num>
  <w:num w:numId="4">
    <w:abstractNumId w:val="12"/>
  </w:num>
  <w:num w:numId="5">
    <w:abstractNumId w:val="33"/>
  </w:num>
  <w:num w:numId="6">
    <w:abstractNumId w:val="14"/>
  </w:num>
  <w:num w:numId="7">
    <w:abstractNumId w:val="4"/>
  </w:num>
  <w:num w:numId="8">
    <w:abstractNumId w:val="32"/>
  </w:num>
  <w:num w:numId="9">
    <w:abstractNumId w:val="38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20"/>
  </w:num>
  <w:num w:numId="15">
    <w:abstractNumId w:val="30"/>
  </w:num>
  <w:num w:numId="16">
    <w:abstractNumId w:val="16"/>
  </w:num>
  <w:num w:numId="17">
    <w:abstractNumId w:val="26"/>
  </w:num>
  <w:num w:numId="18">
    <w:abstractNumId w:val="5"/>
  </w:num>
  <w:num w:numId="19">
    <w:abstractNumId w:val="24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17"/>
  </w:num>
  <w:num w:numId="25">
    <w:abstractNumId w:val="37"/>
  </w:num>
  <w:num w:numId="26">
    <w:abstractNumId w:val="23"/>
  </w:num>
  <w:num w:numId="27">
    <w:abstractNumId w:val="21"/>
  </w:num>
  <w:num w:numId="28">
    <w:abstractNumId w:val="6"/>
  </w:num>
  <w:num w:numId="29">
    <w:abstractNumId w:val="10"/>
  </w:num>
  <w:num w:numId="30">
    <w:abstractNumId w:val="13"/>
  </w:num>
  <w:num w:numId="31">
    <w:abstractNumId w:val="35"/>
  </w:num>
  <w:num w:numId="32">
    <w:abstractNumId w:val="27"/>
  </w:num>
  <w:num w:numId="33">
    <w:abstractNumId w:val="34"/>
  </w:num>
  <w:num w:numId="34">
    <w:abstractNumId w:val="8"/>
  </w:num>
  <w:num w:numId="35">
    <w:abstractNumId w:val="18"/>
  </w:num>
  <w:num w:numId="36">
    <w:abstractNumId w:val="36"/>
  </w:num>
  <w:num w:numId="37">
    <w:abstractNumId w:val="2"/>
  </w:num>
  <w:num w:numId="38">
    <w:abstractNumId w:val="7"/>
  </w:num>
  <w:num w:numId="39">
    <w:abstractNumId w:val="40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6D0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C53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638"/>
    <w:rsid w:val="001F6E79"/>
    <w:rsid w:val="001F73B0"/>
    <w:rsid w:val="0020192B"/>
    <w:rsid w:val="00205ED4"/>
    <w:rsid w:val="002060A3"/>
    <w:rsid w:val="002145C6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A67AA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B5900"/>
    <w:rsid w:val="003C628A"/>
    <w:rsid w:val="003C78C1"/>
    <w:rsid w:val="003C79B2"/>
    <w:rsid w:val="003C7ECC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34AC"/>
    <w:rsid w:val="005216F2"/>
    <w:rsid w:val="0052492F"/>
    <w:rsid w:val="00530259"/>
    <w:rsid w:val="00530AC8"/>
    <w:rsid w:val="00533414"/>
    <w:rsid w:val="00534FC7"/>
    <w:rsid w:val="00537C2C"/>
    <w:rsid w:val="00545CE8"/>
    <w:rsid w:val="00552A45"/>
    <w:rsid w:val="0055364F"/>
    <w:rsid w:val="0055452F"/>
    <w:rsid w:val="005548A0"/>
    <w:rsid w:val="0056109E"/>
    <w:rsid w:val="00561E4C"/>
    <w:rsid w:val="005702BB"/>
    <w:rsid w:val="00576AF0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365F"/>
    <w:rsid w:val="005B5270"/>
    <w:rsid w:val="005B7B5D"/>
    <w:rsid w:val="005C0790"/>
    <w:rsid w:val="005C1A3D"/>
    <w:rsid w:val="005C3809"/>
    <w:rsid w:val="005C64D3"/>
    <w:rsid w:val="005D50DE"/>
    <w:rsid w:val="005D5971"/>
    <w:rsid w:val="005D64A2"/>
    <w:rsid w:val="005E35C3"/>
    <w:rsid w:val="005E3CD0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129A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2540E"/>
    <w:rsid w:val="00831C4B"/>
    <w:rsid w:val="00832856"/>
    <w:rsid w:val="00833CCB"/>
    <w:rsid w:val="00836AA3"/>
    <w:rsid w:val="0084687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02E7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D254E"/>
    <w:rsid w:val="009E01F3"/>
    <w:rsid w:val="009E215A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95"/>
    <w:rsid w:val="00A31BBD"/>
    <w:rsid w:val="00A32550"/>
    <w:rsid w:val="00A32669"/>
    <w:rsid w:val="00A32B99"/>
    <w:rsid w:val="00A34B32"/>
    <w:rsid w:val="00A4245F"/>
    <w:rsid w:val="00A43711"/>
    <w:rsid w:val="00A45D74"/>
    <w:rsid w:val="00A47782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3DA"/>
    <w:rsid w:val="00AD2B45"/>
    <w:rsid w:val="00AD5C70"/>
    <w:rsid w:val="00AD5E5B"/>
    <w:rsid w:val="00AD6DC5"/>
    <w:rsid w:val="00AE2457"/>
    <w:rsid w:val="00AE553D"/>
    <w:rsid w:val="00AE6E3E"/>
    <w:rsid w:val="00AE7076"/>
    <w:rsid w:val="00AE7B17"/>
    <w:rsid w:val="00AF04DD"/>
    <w:rsid w:val="00AF25E2"/>
    <w:rsid w:val="00AF5156"/>
    <w:rsid w:val="00AF5F11"/>
    <w:rsid w:val="00AF763F"/>
    <w:rsid w:val="00B006A8"/>
    <w:rsid w:val="00B016BE"/>
    <w:rsid w:val="00B0256B"/>
    <w:rsid w:val="00B05B7B"/>
    <w:rsid w:val="00B067B3"/>
    <w:rsid w:val="00B07F95"/>
    <w:rsid w:val="00B12DB2"/>
    <w:rsid w:val="00B15253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1DEC"/>
    <w:rsid w:val="00B831A9"/>
    <w:rsid w:val="00B86124"/>
    <w:rsid w:val="00B87950"/>
    <w:rsid w:val="00B9115F"/>
    <w:rsid w:val="00B92A89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15F6B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6714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3EAD"/>
    <w:rsid w:val="00D252DA"/>
    <w:rsid w:val="00D3032F"/>
    <w:rsid w:val="00D3542C"/>
    <w:rsid w:val="00D35E12"/>
    <w:rsid w:val="00D35F40"/>
    <w:rsid w:val="00D3667A"/>
    <w:rsid w:val="00D37D76"/>
    <w:rsid w:val="00D415D4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631C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0BC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ED7"/>
    <w:rsid w:val="00F13A3D"/>
    <w:rsid w:val="00F30EFF"/>
    <w:rsid w:val="00F33EAF"/>
    <w:rsid w:val="00F362F3"/>
    <w:rsid w:val="00F37561"/>
    <w:rsid w:val="00F37D36"/>
    <w:rsid w:val="00F408FB"/>
    <w:rsid w:val="00F425C9"/>
    <w:rsid w:val="00F42EAB"/>
    <w:rsid w:val="00F50CB9"/>
    <w:rsid w:val="00F51BA9"/>
    <w:rsid w:val="00F54491"/>
    <w:rsid w:val="00F555D1"/>
    <w:rsid w:val="00F639E5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105B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46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A02E7"/>
    <w:rPr>
      <w:color w:val="800080" w:themeColor="followedHyperlink"/>
      <w:u w:val="single"/>
    </w:rPr>
  </w:style>
  <w:style w:type="numbering" w:customStyle="1" w:styleId="Bullets">
    <w:name w:val="Bullets"/>
    <w:rsid w:val="00D23EAD"/>
    <w:pPr>
      <w:numPr>
        <w:numId w:val="38"/>
      </w:numPr>
    </w:pPr>
  </w:style>
  <w:style w:type="numbering" w:customStyle="1" w:styleId="Numbered">
    <w:name w:val="Numbered"/>
    <w:rsid w:val="005134A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2017-06-27T09:42:00Z</cp:lastPrinted>
  <dcterms:created xsi:type="dcterms:W3CDTF">2023-10-03T08:38:00Z</dcterms:created>
  <dcterms:modified xsi:type="dcterms:W3CDTF">2023-10-04T13:56:00Z</dcterms:modified>
</cp:coreProperties>
</file>